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reproducible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4000500" cy="40005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4000500" cy="40005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Setup</w:t>
        </w:r>
      </w:hyperlink>
    </w:p>
    <w:bookmarkEnd w:id="49"/>
    <w:bookmarkStart w:id="6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wmatrix6nn"/>
          <w:p>
            <w:pPr>
              <w:pStyle w:val="Compact"/>
              <w:jc w:val="center"/>
            </w:pPr>
            <w:r>
              <w:drawing>
                <wp:inline>
                  <wp:extent cx="5334000" cy="5052589"/>
                  <wp:effectExtent b="0" l="0" r="0" t="0"/>
                  <wp:docPr descr="" title="" id="51" name="Picture"/>
                  <a:graphic>
                    <a:graphicData uri="http://schemas.openxmlformats.org/drawingml/2006/picture">
                      <pic:pic>
                        <pic:nvPicPr>
                          <pic:cNvPr descr="index_files/figure-docx/notebooks-c03_spatial_dependence_lisa-fig-wmatrix6nn-output-1.png" id="52" name="Picture"/>
                          <pic:cNvPicPr>
                            <a:picLocks noChangeArrowheads="1" noChangeAspect="1"/>
                          </pic:cNvPicPr>
                        </pic:nvPicPr>
                        <pic:blipFill>
                          <a:blip r:embed="rId50"/>
                          <a:stretch>
                            <a:fillRect/>
                          </a:stretch>
                        </pic:blipFill>
                        <pic:spPr bwMode="auto">
                          <a:xfrm>
                            <a:off x="0" y="0"/>
                            <a:ext cx="5334000" cy="5052589"/>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connectivity structure based on six nearest neighbors</w:t>
            </w:r>
            <w:r>
              <w:t xml:space="preserve"> </w:t>
            </w:r>
            <w:r>
              <w:t xml:space="preserve"> </w:t>
            </w:r>
            <w:r>
              <w:t xml:space="preserve">Note: See Spatial dependence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Setup</w:t>
        </w:r>
      </w:hyperlink>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8" w:name="fig-dependence-initial"/>
          <w:p>
            <w:pPr>
              <w:pStyle w:val="Compact"/>
              <w:jc w:val="center"/>
            </w:pPr>
            <w:r>
              <w:drawing>
                <wp:inline>
                  <wp:extent cx="5334000" cy="2634591"/>
                  <wp:effectExtent b="0" l="0" r="0" t="0"/>
                  <wp:docPr descr="" title="" id="56" name="Picture"/>
                  <a:graphic>
                    <a:graphicData uri="http://schemas.openxmlformats.org/drawingml/2006/picture">
                      <pic:pic>
                        <pic:nvPicPr>
                          <pic:cNvPr descr="index_files/figure-docx/notebooks-c03_spatial_dependence_lisa-fig-dependence-initial-output-1.png" id="57" name="Picture"/>
                          <pic:cNvPicPr>
                            <a:picLocks noChangeArrowheads="1" noChangeAspect="1"/>
                          </pic:cNvPicPr>
                        </pic:nvPicPr>
                        <pic:blipFill>
                          <a:blip r:embed="rId55"/>
                          <a:stretch>
                            <a:fillRect/>
                          </a:stretch>
                        </pic:blipFill>
                        <pic:spPr bwMode="auto">
                          <a:xfrm>
                            <a:off x="0" y="0"/>
                            <a:ext cx="5334000" cy="2634591"/>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Setup</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63" w:name="fig-dependence-growth"/>
          <w:p>
            <w:pPr>
              <w:pStyle w:val="Compact"/>
              <w:jc w:val="center"/>
            </w:pPr>
            <w:r>
              <w:drawing>
                <wp:inline>
                  <wp:extent cx="5334000" cy="2638363"/>
                  <wp:effectExtent b="0" l="0" r="0" t="0"/>
                  <wp:docPr descr="" title="" id="61" name="Picture"/>
                  <a:graphic>
                    <a:graphicData uri="http://schemas.openxmlformats.org/drawingml/2006/picture">
                      <pic:pic>
                        <pic:nvPicPr>
                          <pic:cNvPr descr="index_files/figure-docx/notebooks-c03_spatial_dependence_lisa-fig-dependence-growth-output-1.png" id="62" name="Picture"/>
                          <pic:cNvPicPr>
                            <a:picLocks noChangeArrowheads="1" noChangeAspect="1"/>
                          </pic:cNvPicPr>
                        </pic:nvPicPr>
                        <pic:blipFill>
                          <a:blip r:embed="rId60"/>
                          <a:stretch>
                            <a:fillRect/>
                          </a:stretch>
                        </pic:blipFill>
                        <pic:spPr bwMode="auto">
                          <a:xfrm>
                            <a:off x="0" y="0"/>
                            <a:ext cx="5334000" cy="2638363"/>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63"/>
        </w:tc>
      </w:tr>
    </w:tbl>
    <w:p>
      <w:pPr>
        <w:pStyle w:val="BodyText"/>
      </w:pPr>
      <w:r>
        <w:rPr>
          <w:vertAlign w:val="subscript"/>
        </w:rPr>
        <w:t xml:space="preserve">Source:</w:t>
      </w:r>
      <w:r>
        <w:rPr>
          <w:vertAlign w:val="subscript"/>
        </w:rPr>
        <w:t xml:space="preserve"> </w:t>
      </w:r>
      <w:hyperlink r:id="rId64">
        <w:r>
          <w:rPr>
            <w:rStyle w:val="Hyperlink"/>
            <w:vertAlign w:val="subscript"/>
          </w:rPr>
          <w:t xml:space="preserve">Setup</w:t>
        </w:r>
      </w:hyperlink>
    </w:p>
    <w:bookmarkEnd w:id="65"/>
    <w:bookmarkStart w:id="67"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-0.021***</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-0.015*</w:t>
                  </w:r>
                </w:p>
              </w:tc>
              <w:tc>
                <w:tcPr/>
                <w:p>
                  <w:pPr>
                    <w:pStyle w:val="Compact"/>
                    <w:jc w:val="center"/>
                  </w:pPr>
                  <w:r>
                    <w:t xml:space="preserve">–</w:t>
                  </w:r>
                </w:p>
              </w:tc>
              <w:tc>
                <w:tcPr/>
                <w:p>
                  <w:pPr>
                    <w:pStyle w:val="Compact"/>
                    <w:jc w:val="center"/>
                  </w:pPr>
                  <w:r>
                    <w:t xml:space="preserve">-0.012*</w:t>
                  </w:r>
                </w:p>
              </w:tc>
            </w:tr>
            <w:tr>
              <w:tc>
                <w:tcPr/>
                <w:p>
                  <w:pPr>
                    <w:pStyle w:val="Compact"/>
                  </w:pP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c>
                <w:tcPr/>
                <w:p>
                  <w:pPr>
                    <w:pStyle w:val="Compact"/>
                  </w:pPr>
                </w:p>
              </w:tc>
              <w:tc>
                <w:tcPr/>
                <w:p>
                  <w:pPr>
                    <w:pStyle w:val="Compact"/>
                    <w:jc w:val="center"/>
                  </w:pPr>
                  <w:r>
                    <w:t xml:space="preserve">(0.008)</w:t>
                  </w:r>
                </w:p>
              </w:tc>
              <w:tc>
                <w:tcPr/>
                <w:p>
                  <w:pPr>
                    <w:pStyle w:val="Compact"/>
                  </w:pPr>
                </w:p>
              </w:tc>
              <w:tc>
                <w:tcPr/>
                <w:p>
                  <w:pPr>
                    <w:pStyle w:val="Compact"/>
                    <w:jc w:val="center"/>
                  </w:pPr>
                  <w:r>
                    <w:t xml:space="preserve">(0.007)</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-0.025***</w:t>
                  </w:r>
                </w:p>
              </w:tc>
              <w:tc>
                <w:tcPr/>
                <w:p>
                  <w:pPr>
                    <w:pStyle w:val="Compact"/>
                    <w:jc w:val="center"/>
                  </w:pPr>
                  <w:r>
                    <w:t xml:space="preserve">-0.041***</w:t>
                  </w:r>
                </w:p>
              </w:tc>
              <w:tc>
                <w:tcPr/>
                <w:p>
                  <w:pPr>
                    <w:pStyle w:val="Compact"/>
                    <w:jc w:val="center"/>
                  </w:pPr>
                  <w:r>
                    <w:t xml:space="preserve">-0.025***</w:t>
                  </w:r>
                </w:p>
              </w:tc>
              <w:tc>
                <w:tcPr/>
                <w:p>
                  <w:pPr>
                    <w:pStyle w:val="Compact"/>
                    <w:jc w:val="center"/>
                  </w:pPr>
                  <w:r>
                    <w:t xml:space="preserve">-0.037***</w:t>
                  </w:r>
                </w:p>
              </w:tc>
            </w:tr>
            <w:tr>
              <w:tc>
                <w:tcPr/>
                <w:p>
                  <w:pPr>
                    <w:pStyle w:val="Compact"/>
                  </w:pPr>
                </w:p>
              </w:tc>
              <w:tc>
                <w:tcPr/>
                <w:p>
                  <w:pPr>
                    <w:pStyle w:val="Compact"/>
                    <w:jc w:val="center"/>
                  </w:pPr>
                  <w:r>
                    <w:t xml:space="preserve">(0.002)</w:t>
                  </w:r>
                </w:p>
              </w:tc>
              <w:tc>
                <w:tcPr/>
                <w:p>
                  <w:pPr>
                    <w:pStyle w:val="Compact"/>
                    <w:jc w:val="center"/>
                  </w:pPr>
                  <w:r>
                    <w:t xml:space="preserve">(0.006)</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(0.008)</w:t>
                  </w:r>
                </w:p>
              </w:tc>
              <w:tc>
                <w:tcPr/>
                <w:p>
                  <w:pPr>
                    <w:pStyle w:val="Compact"/>
                    <w:jc w:val="center"/>
                  </w:pPr>
                  <w:r>
                    <w:t xml:space="preserve">(0.003)</w:t>
                  </w:r>
                </w:p>
              </w:tc>
              <w:tc>
                <w:tcPr/>
                <w:p>
                  <w:pPr>
                    <w:pStyle w:val="Compact"/>
                    <w:jc w:val="center"/>
                  </w:pPr>
                  <w:r>
                    <w:t xml:space="preserve">(0.007)</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-2290</w:t>
                  </w:r>
                </w:p>
              </w:tc>
              <w:tc>
                <w:tcPr/>
                <w:p>
                  <w:pPr>
                    <w:pStyle w:val="Compact"/>
                    <w:jc w:val="center"/>
                  </w:pPr>
                  <w:r>
                    <w:t xml:space="preserve">-2413</w:t>
                  </w:r>
                </w:p>
              </w:tc>
              <w:tc>
                <w:tcPr/>
                <w:p>
                  <w:pPr>
                    <w:pStyle w:val="Compact"/>
                    <w:jc w:val="center"/>
                  </w:pPr>
                  <w:r>
                    <w:t xml:space="preserve">-2466</w:t>
                  </w:r>
                </w:p>
              </w:tc>
              <w:tc>
                <w:tcPr/>
                <w:p>
                  <w:pPr>
                    <w:pStyle w:val="Compact"/>
                    <w:jc w:val="center"/>
                  </w:pPr>
                  <w:r>
                    <w:t xml:space="preserve">-2211</w:t>
                  </w:r>
                </w:p>
              </w:tc>
              <w:tc>
                <w:tcPr/>
                <w:p>
                  <w:pPr>
                    <w:pStyle w:val="Compact"/>
                    <w:jc w:val="center"/>
                  </w:pPr>
                  <w:r>
                    <w:t xml:space="preserve">-2356</w:t>
                  </w:r>
                </w:p>
              </w:tc>
              <w:tc>
                <w:tcPr/>
                <w:p>
                  <w:pPr>
                    <w:pStyle w:val="Compact"/>
                    <w:jc w:val="center"/>
                  </w:pPr>
                  <w:r>
                    <w:t xml:space="preserve">-2469</w:t>
                  </w:r>
                </w:p>
              </w:tc>
              <w:tc>
                <w:tcPr/>
                <w:p>
                  <w:pPr>
                    <w:pStyle w:val="Compact"/>
                    <w:jc w:val="center"/>
                  </w:pPr>
                  <w:r>
                    <w:t xml:space="preserve">-2499</w:t>
                  </w:r>
                </w:p>
              </w:tc>
            </w:tr>
          </w:tbl>
          <w:bookmarkEnd w:id="6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7"/>
    <w:bookmarkEnd w:id="68"/>
    <w:bookmarkStart w:id="72" w:name="discussion"/>
    <w:p>
      <w:pPr>
        <w:pStyle w:val="Heading2"/>
      </w:pPr>
      <w:r>
        <w:t xml:space="preserve">Discussion</w:t>
      </w:r>
    </w:p>
    <w:bookmarkStart w:id="6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9"/>
    <w:bookmarkStart w:id="7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70"/>
    <w:bookmarkStart w:id="7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71"/>
    <w:bookmarkEnd w:id="72"/>
    <w:bookmarkStart w:id="73"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End w:id="73"/>
    <w:bookmarkStart w:id="74" w:name="acknowledgments"/>
    <w:p>
      <w:pPr>
        <w:pStyle w:val="Heading2"/>
      </w:pPr>
      <w:r>
        <w:t xml:space="preserve">Acknowledgments</w:t>
      </w:r>
    </w:p>
    <w:p>
      <w:pPr>
        <w:pStyle w:val="FirstParagraph"/>
      </w:pPr>
      <w:r>
        <w:t xml:space="preserve">This work was supported by JSPS KAKENHI Grant Number 24K04884. During the preparation of this work, the authors used Claude Code (Anthropic) to assist with manuscript editing, computational notebook development, and research infrastructure setup. After using this tool, the authors reviewed and edited all content and take full responsibility for the content of the publication.</w:t>
      </w:r>
    </w:p>
    <w:bookmarkEnd w:id="74"/>
    <w:bookmarkStart w:id="75" w:name="conflict-of-interest"/>
    <w:p>
      <w:pPr>
        <w:pStyle w:val="Heading2"/>
      </w:pPr>
      <w:r>
        <w:t xml:space="preserve">Conflict of Interest</w:t>
      </w:r>
    </w:p>
    <w:p>
      <w:pPr>
        <w:pStyle w:val="FirstParagraph"/>
      </w:pPr>
      <w:r>
        <w:t xml:space="preserve">The authors declare no conflict of interest.</w:t>
      </w:r>
    </w:p>
    <w:bookmarkEnd w:id="75"/>
    <w:bookmarkStart w:id="132" w:name="data-and-code-availability"/>
    <w:p>
      <w:pPr>
        <w:pStyle w:val="Heading2"/>
      </w:pPr>
      <w:r>
        <w:t xml:space="preserve">Data and Code Availability</w:t>
      </w:r>
    </w:p>
    <w:p>
      <w:pPr>
        <w:pStyle w:val="FirstParagraph"/>
      </w:pPr>
      <w:r>
        <w:t xml:space="preserve">All data and computational code used in this study are available in the project repository:</w:t>
      </w:r>
      <w:r>
        <w:t xml:space="preserve"> </w:t>
      </w:r>
      <w:hyperlink r:id="rId76">
        <w:r>
          <w:rPr>
            <w:rStyle w:val="Hyperlink"/>
          </w:rPr>
          <w:t xml:space="preserve">https://github.com/quarcs-lab/project2025s</w:t>
        </w:r>
      </w:hyperlink>
      <w:r>
        <w:t xml:space="preserve">. Also, the interactive HTML version of this manuscript (</w:t>
      </w:r>
      <w:hyperlink r:id="rId77">
        <w:r>
          <w:rPr>
            <w:rStyle w:val="Hyperlink"/>
          </w:rPr>
          <w:t xml:space="preserve">https://quarcs-lab.github.io/project2025s/</w:t>
        </w:r>
      </w:hyperlink>
      <w:r>
        <w:t xml:space="preserve">) embeds the computational notebooks, allowing readers to inspect the complete analytical pipeline from raw data to published results.</w:t>
      </w:r>
    </w:p>
    <w:bookmarkStart w:id="131" w:name="refs"/>
    <w:bookmarkStart w:id="7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78">
        <w:r>
          <w:rPr>
            <w:rStyle w:val="Hyperlink"/>
          </w:rPr>
          <w:t xml:space="preserve">https://doi.org/10.1016/j.rse.2018.03.018</w:t>
        </w:r>
      </w:hyperlink>
      <w:r>
        <w:t xml:space="preserve">.</w:t>
      </w:r>
    </w:p>
    <w:bookmarkEnd w:id="79"/>
    <w:bookmarkStart w:id="8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80">
        <w:r>
          <w:rPr>
            <w:rStyle w:val="Hyperlink"/>
          </w:rPr>
          <w:t xml:space="preserve">https://doi.org/10.1016/j.jdeveco.2020.102467</w:t>
        </w:r>
      </w:hyperlink>
      <w:r>
        <w:t xml:space="preserve">.</w:t>
      </w:r>
    </w:p>
    <w:bookmarkEnd w:id="81"/>
    <w:bookmarkStart w:id="8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82">
        <w:r>
          <w:rPr>
            <w:rStyle w:val="Hyperlink"/>
          </w:rPr>
          <w:t xml:space="preserve">https://doi.org/10.1257/aer.20180268</w:t>
        </w:r>
      </w:hyperlink>
      <w:r>
        <w:t xml:space="preserve">.</w:t>
      </w:r>
    </w:p>
    <w:bookmarkEnd w:id="83"/>
    <w:bookmarkStart w:id="8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84">
        <w:r>
          <w:rPr>
            <w:rStyle w:val="Hyperlink"/>
          </w:rPr>
          <w:t xml:space="preserve">https://doi.org/10.1016/j.asieco.2021.101318</w:t>
        </w:r>
      </w:hyperlink>
      <w:r>
        <w:t xml:space="preserve">.</w:t>
      </w:r>
    </w:p>
    <w:bookmarkEnd w:id="85"/>
    <w:bookmarkStart w:id="8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86"/>
    <w:bookmarkStart w:id="8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87">
        <w:r>
          <w:rPr>
            <w:rStyle w:val="Hyperlink"/>
          </w:rPr>
          <w:t xml:space="preserve">https://doi.org/10.1016/j.jdeveco.2022.102835</w:t>
        </w:r>
      </w:hyperlink>
      <w:r>
        <w:t xml:space="preserve">.</w:t>
      </w:r>
    </w:p>
    <w:bookmarkEnd w:id="88"/>
    <w:bookmarkStart w:id="9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89">
        <w:r>
          <w:rPr>
            <w:rStyle w:val="Hyperlink"/>
          </w:rPr>
          <w:t xml:space="preserve">https://doi.org/10.1016/j.worlddev.2020.104961</w:t>
        </w:r>
      </w:hyperlink>
      <w:r>
        <w:t xml:space="preserve">.</w:t>
      </w:r>
    </w:p>
    <w:bookmarkEnd w:id="90"/>
    <w:bookmarkStart w:id="9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91">
        <w:r>
          <w:rPr>
            <w:rStyle w:val="Hyperlink"/>
          </w:rPr>
          <w:t xml:space="preserve">https://doi.org/10.1073/pnas.1017031108</w:t>
        </w:r>
      </w:hyperlink>
      <w:r>
        <w:t xml:space="preserve">.</w:t>
      </w:r>
    </w:p>
    <w:bookmarkEnd w:id="92"/>
    <w:bookmarkStart w:id="9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93">
        <w:r>
          <w:rPr>
            <w:rStyle w:val="Hyperlink"/>
          </w:rPr>
          <w:t xml:space="preserve">https://doi.org/10.3390/rs70404937</w:t>
        </w:r>
      </w:hyperlink>
      <w:r>
        <w:t xml:space="preserve">.</w:t>
      </w:r>
    </w:p>
    <w:bookmarkEnd w:id="94"/>
    <w:bookmarkStart w:id="9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95">
        <w:r>
          <w:rPr>
            <w:rStyle w:val="Hyperlink"/>
          </w:rPr>
          <w:t xml:space="preserve">https://doi.org/10.1162/rest_a_00951</w:t>
        </w:r>
      </w:hyperlink>
      <w:r>
        <w:t xml:space="preserve">.</w:t>
      </w:r>
    </w:p>
    <w:bookmarkEnd w:id="96"/>
    <w:bookmarkStart w:id="9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97">
        <w:r>
          <w:rPr>
            <w:rStyle w:val="Hyperlink"/>
          </w:rPr>
          <w:t xml:space="preserve">https://doi.org/10.1257/jep.30.4.171</w:t>
        </w:r>
      </w:hyperlink>
      <w:r>
        <w:t xml:space="preserve">.</w:t>
      </w:r>
    </w:p>
    <w:bookmarkEnd w:id="98"/>
    <w:bookmarkStart w:id="10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99">
        <w:r>
          <w:rPr>
            <w:rStyle w:val="Hyperlink"/>
          </w:rPr>
          <w:t xml:space="preserve">https://doi.org/10.1002/jae.3950100404</w:t>
        </w:r>
      </w:hyperlink>
      <w:r>
        <w:t xml:space="preserve">.</w:t>
      </w:r>
    </w:p>
    <w:bookmarkEnd w:id="100"/>
    <w:bookmarkStart w:id="10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101">
        <w:r>
          <w:rPr>
            <w:rStyle w:val="Hyperlink"/>
          </w:rPr>
          <w:t xml:space="preserve">https://doi.org/10.1080/01431161.2017.1342050</w:t>
        </w:r>
      </w:hyperlink>
      <w:r>
        <w:t xml:space="preserve">.</w:t>
      </w:r>
    </w:p>
    <w:bookmarkEnd w:id="102"/>
    <w:bookmarkStart w:id="10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103">
        <w:r>
          <w:rPr>
            <w:rStyle w:val="Hyperlink"/>
          </w:rPr>
          <w:t xml:space="preserve">https://doi.org/10.1002/jae.963</w:t>
        </w:r>
      </w:hyperlink>
      <w:r>
        <w:t xml:space="preserve">.</w:t>
      </w:r>
    </w:p>
    <w:bookmarkEnd w:id="104"/>
    <w:bookmarkStart w:id="10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105">
        <w:r>
          <w:rPr>
            <w:rStyle w:val="Hyperlink"/>
          </w:rPr>
          <w:t xml:space="preserve">https://doi.org/10.1007/s00168-010-0384-6</w:t>
        </w:r>
      </w:hyperlink>
      <w:r>
        <w:t xml:space="preserve">.</w:t>
      </w:r>
    </w:p>
    <w:bookmarkEnd w:id="106"/>
    <w:bookmarkStart w:id="10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107">
        <w:r>
          <w:rPr>
            <w:rStyle w:val="Hyperlink"/>
          </w:rPr>
          <w:t xml:space="preserve">https://doi.org/10.1007/s10887-014-9105-9</w:t>
        </w:r>
      </w:hyperlink>
      <w:r>
        <w:t xml:space="preserve">.</w:t>
      </w:r>
    </w:p>
    <w:bookmarkEnd w:id="108"/>
    <w:bookmarkStart w:id="11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109">
        <w:r>
          <w:rPr>
            <w:rStyle w:val="Hyperlink"/>
          </w:rPr>
          <w:t xml:space="preserve">https://doi.org/10.1016/j.jdeveco.2020.102602</w:t>
        </w:r>
      </w:hyperlink>
      <w:r>
        <w:t xml:space="preserve">.</w:t>
      </w:r>
    </w:p>
    <w:bookmarkEnd w:id="110"/>
    <w:bookmarkStart w:id="11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11">
        <w:r>
          <w:rPr>
            <w:rStyle w:val="Hyperlink"/>
          </w:rPr>
          <w:t xml:space="preserve">https://doi.org/10.1257/aer.102.2.994</w:t>
        </w:r>
      </w:hyperlink>
      <w:r>
        <w:t xml:space="preserve">.</w:t>
      </w:r>
    </w:p>
    <w:bookmarkEnd w:id="112"/>
    <w:bookmarkStart w:id="11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13">
        <w:r>
          <w:rPr>
            <w:rStyle w:val="Hyperlink"/>
          </w:rPr>
          <w:t xml:space="preserve">https://doi.org/10.1126/science.aaf7894</w:t>
        </w:r>
      </w:hyperlink>
      <w:r>
        <w:t xml:space="preserve">.</w:t>
      </w:r>
    </w:p>
    <w:bookmarkEnd w:id="114"/>
    <w:bookmarkStart w:id="11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15">
        <w:r>
          <w:rPr>
            <w:rStyle w:val="Hyperlink"/>
          </w:rPr>
          <w:t xml:space="preserve">https://doi.org/10.1016/j.jdeveco.2021.102726</w:t>
        </w:r>
      </w:hyperlink>
      <w:r>
        <w:t xml:space="preserve">.</w:t>
      </w:r>
    </w:p>
    <w:bookmarkEnd w:id="116"/>
    <w:bookmarkStart w:id="11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17">
        <w:r>
          <w:rPr>
            <w:rStyle w:val="Hyperlink"/>
          </w:rPr>
          <w:t xml:space="preserve">https://doi.org/10.1016/j.worlddev.2014.08.017</w:t>
        </w:r>
      </w:hyperlink>
      <w:r>
        <w:t xml:space="preserve">.</w:t>
      </w:r>
    </w:p>
    <w:bookmarkEnd w:id="118"/>
    <w:bookmarkStart w:id="12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19">
        <w:r>
          <w:rPr>
            <w:rStyle w:val="Hyperlink"/>
          </w:rPr>
          <w:t xml:space="preserve">https://doi.org/10.1016/j.euroecorev.2016.11.009</w:t>
        </w:r>
      </w:hyperlink>
      <w:r>
        <w:t xml:space="preserve">.</w:t>
      </w:r>
    </w:p>
    <w:bookmarkEnd w:id="120"/>
    <w:bookmarkStart w:id="12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21">
        <w:r>
          <w:rPr>
            <w:rStyle w:val="Hyperlink"/>
          </w:rPr>
          <w:t xml:space="preserve">https://doi.org/10.1038/s41597-020-0510-y</w:t>
        </w:r>
      </w:hyperlink>
      <w:r>
        <w:t xml:space="preserve">.</w:t>
      </w:r>
    </w:p>
    <w:bookmarkEnd w:id="122"/>
    <w:bookmarkStart w:id="12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23">
        <w:r>
          <w:rPr>
            <w:rStyle w:val="Hyperlink"/>
          </w:rPr>
          <w:t xml:space="preserve">https://github.com/quarcs-lab/project2022p</w:t>
        </w:r>
      </w:hyperlink>
      <w:r>
        <w:t xml:space="preserve">.</w:t>
      </w:r>
    </w:p>
    <w:bookmarkEnd w:id="124"/>
    <w:bookmarkStart w:id="12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25">
        <w:r>
          <w:rPr>
            <w:rStyle w:val="Hyperlink"/>
          </w:rPr>
          <w:t xml:space="preserve">https://doi.org/10.1093/qje/qjw003</w:t>
        </w:r>
      </w:hyperlink>
      <w:r>
        <w:t xml:space="preserve">.</w:t>
      </w:r>
    </w:p>
    <w:bookmarkEnd w:id="126"/>
    <w:bookmarkStart w:id="12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27">
        <w:r>
          <w:rPr>
            <w:rStyle w:val="Hyperlink"/>
          </w:rPr>
          <w:t xml:space="preserve">https://doi.org/10.2307/2235377</w:t>
        </w:r>
      </w:hyperlink>
      <w:r>
        <w:t xml:space="preserve">.</w:t>
      </w:r>
    </w:p>
    <w:bookmarkEnd w:id="128"/>
    <w:bookmarkStart w:id="13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29">
        <w:r>
          <w:rPr>
            <w:rStyle w:val="Hyperlink"/>
          </w:rPr>
          <w:t xml:space="preserve">https://doi.org/10.1080/00343409950122945</w:t>
        </w:r>
      </w:hyperlink>
      <w:r>
        <w:t xml:space="preserve">.</w:t>
      </w:r>
    </w:p>
    <w:bookmarkEnd w:id="130"/>
    <w:bookmarkEnd w:id="131"/>
    <w:bookmarkEnd w:id="13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Reproducible research, Nighttime lights, Regional convergence, Spatial spillovers, Spatial Durbin model, India</cp:keywords>
  <dcterms:created xsi:type="dcterms:W3CDTF">2026-02-13T07:33:28Z</dcterms:created>
  <dcterms:modified xsi:type="dcterms:W3CDTF">2026-02-13T07:33:28Z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reproducible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